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D4" w:rsidRPr="00FA1BC0" w:rsidRDefault="00FA1BC0" w:rsidP="00FA1BC0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A1BC0">
        <w:rPr>
          <w:rFonts w:hint="eastAsia"/>
          <w:sz w:val="32"/>
          <w:szCs w:val="32"/>
        </w:rPr>
        <w:t>動物用医薬品特例販売指定品目一覧表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6"/>
        <w:gridCol w:w="3824"/>
        <w:gridCol w:w="1320"/>
        <w:gridCol w:w="2464"/>
        <w:gridCol w:w="2773"/>
        <w:gridCol w:w="2291"/>
      </w:tblGrid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成分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規格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効能・効果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用法・用量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FA1BC0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製造元</w:t>
            </w: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A1BC0" w:rsidRPr="00FA1BC0" w:rsidTr="0029275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BC0" w:rsidRPr="00FA1BC0" w:rsidRDefault="00FA1BC0" w:rsidP="0029275D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A1BC0" w:rsidRDefault="00FA1BC0"/>
    <w:sectPr w:rsidR="00FA1BC0" w:rsidSect="00FA1BC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BC0"/>
    <w:rsid w:val="0029275D"/>
    <w:rsid w:val="00470841"/>
    <w:rsid w:val="007464D4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2019-04-05T00:23:00Z</dcterms:created>
  <dcterms:modified xsi:type="dcterms:W3CDTF">2019-04-05T00:23:00Z</dcterms:modified>
</cp:coreProperties>
</file>